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F549" w14:textId="77777777" w:rsidR="00C77F4E" w:rsidRDefault="00C77F4E">
      <w:pPr>
        <w:spacing w:after="1" w:line="200" w:lineRule="atLeast"/>
      </w:pPr>
      <w:r>
        <w:rPr>
          <w:rFonts w:ascii="Tahoma" w:hAnsi="Tahoma" w:cs="Tahoma"/>
          <w:sz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538CF11F" w14:textId="77777777" w:rsidR="00C77F4E" w:rsidRDefault="00C77F4E">
      <w:pPr>
        <w:spacing w:after="1" w:line="220" w:lineRule="atLeast"/>
        <w:jc w:val="both"/>
        <w:outlineLvl w:val="0"/>
      </w:pPr>
    </w:p>
    <w:p w14:paraId="610B18FD" w14:textId="77777777" w:rsidR="00C77F4E" w:rsidRDefault="00C77F4E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Утвержден</w:t>
      </w:r>
    </w:p>
    <w:p w14:paraId="01CA7CE1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Банком России</w:t>
      </w:r>
    </w:p>
    <w:p w14:paraId="5025647B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(Протокол N КФНП-26 от 27.07.2017)</w:t>
      </w:r>
    </w:p>
    <w:p w14:paraId="458CAAFC" w14:textId="77777777" w:rsidR="00C77F4E" w:rsidRDefault="00C77F4E">
      <w:pPr>
        <w:spacing w:after="1" w:line="220" w:lineRule="atLeast"/>
        <w:jc w:val="both"/>
      </w:pPr>
    </w:p>
    <w:p w14:paraId="40887065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Согласован</w:t>
      </w:r>
    </w:p>
    <w:p w14:paraId="4D4CAD47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Комитетом по стандартам</w:t>
      </w:r>
    </w:p>
    <w:p w14:paraId="11A06DCA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микрофинансовых организаций</w:t>
      </w:r>
    </w:p>
    <w:p w14:paraId="52A08E90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при Банке России</w:t>
      </w:r>
    </w:p>
    <w:p w14:paraId="7489FC48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(Протокол N 3 от 19.07.2017)</w:t>
      </w:r>
    </w:p>
    <w:p w14:paraId="6CA04B6B" w14:textId="77777777" w:rsidR="00C77F4E" w:rsidRDefault="00C77F4E">
      <w:pPr>
        <w:spacing w:after="1" w:line="220" w:lineRule="atLeast"/>
        <w:jc w:val="both"/>
      </w:pPr>
    </w:p>
    <w:p w14:paraId="5C7A2C0C" w14:textId="77777777" w:rsidR="00C77F4E" w:rsidRDefault="00C77F4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БАЗОВЫЙ СТАНДАРТ</w:t>
      </w:r>
    </w:p>
    <w:p w14:paraId="55F8C304" w14:textId="77777777" w:rsidR="00C77F4E" w:rsidRDefault="00C77F4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 УПРАВЛЕНИЮ РИСКАМИ МИКРОФИНАНСОВЫХ ОРГАНИЗАЦИЙ</w:t>
      </w:r>
    </w:p>
    <w:p w14:paraId="435E578E" w14:textId="77777777" w:rsidR="00C77F4E" w:rsidRDefault="00C77F4E">
      <w:pPr>
        <w:spacing w:after="1" w:line="220" w:lineRule="atLeast"/>
        <w:jc w:val="both"/>
      </w:pPr>
    </w:p>
    <w:p w14:paraId="1551BA08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Базовый стандарт по управлению рисками для микрофинансовых организаций (далее - Стандарт) разработан на основании </w:t>
      </w:r>
      <w:hyperlink r:id="rId5" w:history="1">
        <w:r>
          <w:rPr>
            <w:rFonts w:ascii="Calibri" w:hAnsi="Calibri" w:cs="Calibri"/>
            <w:color w:val="0000FF"/>
          </w:rPr>
          <w:t>статей 4</w:t>
        </w:r>
      </w:hyperlink>
      <w:r>
        <w:rPr>
          <w:rFonts w:ascii="Calibri" w:hAnsi="Calibri" w:cs="Calibri"/>
        </w:rPr>
        <w:t xml:space="preserve"> и </w:t>
      </w:r>
      <w:hyperlink r:id="rId6" w:history="1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 Федерального закона от 13.07.2015 N 223-ФЗ "О саморегулируемых организациях в сфере финансового рынка" и Федерального </w:t>
      </w:r>
      <w:hyperlink r:id="rId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02.07.2010 N 151-ФЗ "О микрофинансовой деятельности и микрофинансовых организациях" в соответствии с требованиями </w:t>
      </w:r>
      <w:hyperlink r:id="rId8" w:history="1">
        <w:r>
          <w:rPr>
            <w:rFonts w:ascii="Calibri" w:hAnsi="Calibri" w:cs="Calibri"/>
            <w:color w:val="0000FF"/>
          </w:rPr>
          <w:t>Указания</w:t>
        </w:r>
      </w:hyperlink>
      <w:r>
        <w:rPr>
          <w:rFonts w:ascii="Calibri" w:hAnsi="Calibri" w:cs="Calibri"/>
        </w:rPr>
        <w:t xml:space="preserve"> Банка России от 30.05.2016 N 4027-У "О перечне обязательных для разработки саморегулируемыми организациями в сфере финансового рынка, объединяющими микрофинансовые организации, кредитные потребительские кооперативы, базовых стандартов и требованиях к их содержанию, а также перечне операций (содержании видов деятельности) на финансовом рынке, подлежащих стандартизации в зависимости от вида деятельности финансовых организаций" и определяет порядок управления рисками в микрофинансовой организации.</w:t>
      </w:r>
    </w:p>
    <w:p w14:paraId="7B5A7768" w14:textId="77777777" w:rsidR="00C77F4E" w:rsidRDefault="00C77F4E">
      <w:pPr>
        <w:spacing w:after="1" w:line="220" w:lineRule="atLeast"/>
        <w:jc w:val="both"/>
      </w:pPr>
    </w:p>
    <w:p w14:paraId="58A3BAF4" w14:textId="77777777" w:rsidR="00C77F4E" w:rsidRDefault="00C77F4E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Глава 1. Основные термины, определения и сокращения</w:t>
      </w:r>
    </w:p>
    <w:p w14:paraId="1C480B51" w14:textId="77777777" w:rsidR="00C77F4E" w:rsidRDefault="00C77F4E">
      <w:pPr>
        <w:spacing w:after="1" w:line="220" w:lineRule="atLeast"/>
        <w:jc w:val="both"/>
      </w:pPr>
    </w:p>
    <w:p w14:paraId="12E6F2C1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Используемые в Стандарте основные термины, определения и сокращения имеют следующее значение:</w:t>
      </w:r>
    </w:p>
    <w:p w14:paraId="40FB7ECD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>источник (фактор) риска - обстоятельство, состояние среды, способствующее возникновению возможности наступления рискового события;</w:t>
      </w:r>
    </w:p>
    <w:p w14:paraId="0B3C4A27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 xml:space="preserve">микрофинансовая деятельность - деятельность юридических лиц, имеющих статус микрофинансовой организации, а также иных юридических лиц, имеющих право на осуществление микрофинансовой деятельности в соответствии со </w:t>
      </w:r>
      <w:hyperlink r:id="rId9" w:history="1">
        <w:r>
          <w:rPr>
            <w:rFonts w:ascii="Calibri" w:hAnsi="Calibri" w:cs="Calibri"/>
            <w:color w:val="0000FF"/>
          </w:rPr>
          <w:t>статьей 3</w:t>
        </w:r>
      </w:hyperlink>
      <w:r>
        <w:rPr>
          <w:rFonts w:ascii="Calibri" w:hAnsi="Calibri" w:cs="Calibri"/>
        </w:rPr>
        <w:t xml:space="preserve"> Федерального закона от 02.07.2010 N 151-ФЗ "О микрофинансовой деятельности и микрофинансовых организациях", по предоставлению микрозаймов (микрофинансирование);</w:t>
      </w:r>
    </w:p>
    <w:p w14:paraId="22F57F2E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 xml:space="preserve">микрофинансовая организация (МФО) - юридическое лицо в виде микрофинансовой компании (далее - МФК) или микрокредитной компании (далее - МКК), которое осуществляет микрофинансовую деятельность и сведения о котором внесены в государственный реестр микрофинансовых организаций в порядке, предусмотренном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02.07.2010 N 151-ФЗ "О микрофинансовой деятельности и микрофинансовых организациях";</w:t>
      </w:r>
    </w:p>
    <w:p w14:paraId="3F1CC65A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>риск - присущая микрофинансовой деятельности опасность возникновения у МФО непредвиденных потерь вследствие наступления неблагоприятных событий, связанных с внутренними факторами (например, сложность организационной структуры, уровень квалификации работников, организационные изменения, текучесть кадров) и (или) внешними факторами (например, изменение экономических условий деятельности МФО, технологические сбои);</w:t>
      </w:r>
    </w:p>
    <w:p w14:paraId="4DF23ED7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lastRenderedPageBreak/>
        <w:t>последствия риска - события, которые наиболее вероятно наступят после реализации риска, которые выражаются во влиянии на эффективность и сроки исполнения задач, финансовый результат, репутацию, надежность предоставления услуг, соблюдение прав получателей финансовых услуг, человеческие ресурсы, сохранность активов и другие факторы, влияющие на достижение стратегических и операционных целей МФО;</w:t>
      </w:r>
    </w:p>
    <w:p w14:paraId="61619745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>реестр рисков - документ, содержащий информацию о рисках, возникающих в процессе осуществления микрофинансовой деятельности;</w:t>
      </w:r>
    </w:p>
    <w:p w14:paraId="77F511BF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>рисковое событие - предполагаемое событие или ряд событий, в результате наступления которого (которых), с учетом вероятности их наступления и степени влияния на результат оказания финансовых услуг, у МФО могут возникнуть затруднения при исполнении своих обязательств перед контрагентами в полном объеме и в установленный срок, или иные последствия риска;</w:t>
      </w:r>
    </w:p>
    <w:p w14:paraId="0FB6CADE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>система управления рисками (СУР) - совокупность процессов, методик, информационных систем, направленных на достижение целей и задач управления рисками;</w:t>
      </w:r>
    </w:p>
    <w:p w14:paraId="72917180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 xml:space="preserve">СРО - саморегулируемая организация в сфере финансового рынка, объединяющая микрофинансовые организации и осуществляющая свою деятельность в соответствии с Федеральным </w:t>
      </w:r>
      <w:hyperlink r:id="rId1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13.07.2015 N 223-ФЗ "О саморегулируемых организациях в сфере финансового рынка";</w:t>
      </w:r>
    </w:p>
    <w:p w14:paraId="50BC26F2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>управление рисками - процессы, осуществляемые руководителями и специалистами на всех уровнях управления МФО и его структурных подразделений, направленные на идентификацию, мониторинг, анализ, оценку и контроль событий, которые могут негативно влиять на достижение целей МФО, снижение вероятности их наступления, минимизацию последствий их наступления, регистрация полученных результатов и составление отчетности;</w:t>
      </w:r>
    </w:p>
    <w:p w14:paraId="5D2EFE09" w14:textId="77777777" w:rsidR="00C77F4E" w:rsidRDefault="00C77F4E">
      <w:pPr>
        <w:spacing w:before="220" w:after="1" w:line="220" w:lineRule="atLeast"/>
        <w:jc w:val="both"/>
      </w:pPr>
      <w:r>
        <w:rPr>
          <w:rFonts w:ascii="Calibri" w:hAnsi="Calibri" w:cs="Calibri"/>
        </w:rPr>
        <w:t>положение об управлении рисками - внутренний документ, утверждаемый органами управления МФО и определяющий порядок организации и осуществления управления рисками.</w:t>
      </w:r>
    </w:p>
    <w:p w14:paraId="6ED47D3A" w14:textId="77777777" w:rsidR="00C77F4E" w:rsidRDefault="00C77F4E">
      <w:pPr>
        <w:spacing w:after="1" w:line="220" w:lineRule="atLeast"/>
        <w:jc w:val="both"/>
      </w:pPr>
    </w:p>
    <w:p w14:paraId="68D511BB" w14:textId="77777777" w:rsidR="00C77F4E" w:rsidRDefault="00C77F4E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Глава 2. Общие положения</w:t>
      </w:r>
    </w:p>
    <w:p w14:paraId="51160FEB" w14:textId="77777777" w:rsidR="00C77F4E" w:rsidRDefault="00C77F4E">
      <w:pPr>
        <w:spacing w:after="1" w:line="220" w:lineRule="atLeast"/>
        <w:jc w:val="both"/>
      </w:pPr>
    </w:p>
    <w:p w14:paraId="566D942B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2.1. МФО должна организовать СУР, связанную с осуществляемой ею деятельностью по оказанию финансовых услуг, в соответствии с требованиями федеральных законов, иных нормативных правовых актов Российской Федерации, нормативных актов Банка России, настоящего Стандарта и внутренних документов МФО, посредством обеспечения осуществления процессов и мероприятий, в том числе:</w:t>
      </w:r>
    </w:p>
    <w:p w14:paraId="44DA21B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2.1.1. идентификацию рисков, связанных с осуществляемой деятельностью по оказанию финансовых услуг;</w:t>
      </w:r>
    </w:p>
    <w:p w14:paraId="7F4D53F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2.1.2. организацию управления рисками, включая установление МФО допустимых уровней потерь (лимитов) по выявленным рискам;</w:t>
      </w:r>
    </w:p>
    <w:p w14:paraId="549BBBD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2.1.3. измерение и оценку рисков;</w:t>
      </w:r>
    </w:p>
    <w:p w14:paraId="75822A7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2.1.4. контроль за соответствием рисков установленным МФО ограничениям рисков и устранением выявленных нарушений ограничений рисков.</w:t>
      </w:r>
    </w:p>
    <w:p w14:paraId="1DA38DF1" w14:textId="77777777" w:rsidR="00C77F4E" w:rsidRDefault="00C77F4E">
      <w:pPr>
        <w:spacing w:before="220" w:after="1" w:line="220" w:lineRule="atLeast"/>
        <w:ind w:firstLine="540"/>
        <w:jc w:val="both"/>
      </w:pPr>
      <w:bookmarkStart w:id="0" w:name="P38"/>
      <w:bookmarkEnd w:id="0"/>
      <w:r>
        <w:rPr>
          <w:rFonts w:ascii="Calibri" w:hAnsi="Calibri" w:cs="Calibri"/>
        </w:rPr>
        <w:t>2.2. МКК, имеющая сумму задолженности по основному долгу по выданным микрозаймам и иным займам не менее одного миллиарда рублей по состоянию на 31 декабря предыдущего года, и МФК обязаны сформировать отдельное структурное подразделение, ответственное за управление рисками (далее - подразделение риск-менеджмента).</w:t>
      </w:r>
    </w:p>
    <w:p w14:paraId="26891C5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 xml:space="preserve">МКК при достижении суммы задолженности по основному долгу по выданным микрозаймам и иным займам, указанной в </w:t>
      </w:r>
      <w:hyperlink w:anchor="P38" w:history="1">
        <w:r>
          <w:rPr>
            <w:rFonts w:ascii="Calibri" w:hAnsi="Calibri" w:cs="Calibri"/>
            <w:color w:val="0000FF"/>
          </w:rPr>
          <w:t>абзаце первом</w:t>
        </w:r>
      </w:hyperlink>
      <w:r>
        <w:rPr>
          <w:rFonts w:ascii="Calibri" w:hAnsi="Calibri" w:cs="Calibri"/>
        </w:rPr>
        <w:t xml:space="preserve"> настоящего пункта, либо в случае получения статуса МФК, обязана сформировать подразделение риск-менеджмента в течение трех месяцев с момента окончания календарного года, в котором сумма задолженности по основному долгу по выданным микрозаймам и иным займам превысила эту сумму, либо с даты получения статуса МФК.</w:t>
      </w:r>
    </w:p>
    <w:p w14:paraId="750FE0A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2.3. Ответственным за организацию СУР и за соответствие деятельности МФО внутренним документам МФО в области СУР является единоличный исполнительный орган МФО или лицо, осуществляющее его функции, или иное лицо, назначенное высшим исполнительным органом МФО. МФО, за исключением случаев, указанных в </w:t>
      </w:r>
      <w:hyperlink w:anchor="P38" w:history="1">
        <w:r>
          <w:rPr>
            <w:rFonts w:ascii="Calibri" w:hAnsi="Calibri" w:cs="Calibri"/>
            <w:color w:val="0000FF"/>
          </w:rPr>
          <w:t>пункте 2.2</w:t>
        </w:r>
      </w:hyperlink>
      <w:r>
        <w:rPr>
          <w:rFonts w:ascii="Calibri" w:hAnsi="Calibri" w:cs="Calibri"/>
        </w:rPr>
        <w:t xml:space="preserve"> Стандарта, по своему усмотрению назначает должностное лицо, ответственное за управление рисками (далее - риск-менеджер) или сформировать подразделение риск-менеджмента. Риск-менеджер или подразделение риск-менеджмента осуществляют свои функции в МФО на постоянной основе.</w:t>
      </w:r>
    </w:p>
    <w:p w14:paraId="7D2A84B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2.4. МФО должна руководствоваться принципом экономической целесообразности затрат на организацию СУР к масштабу рисков, сопутствующих деятельности МФО, при организации СУР.</w:t>
      </w:r>
    </w:p>
    <w:p w14:paraId="63315749" w14:textId="77777777" w:rsidR="00C77F4E" w:rsidRDefault="00C77F4E">
      <w:pPr>
        <w:spacing w:after="1" w:line="220" w:lineRule="atLeast"/>
        <w:jc w:val="both"/>
      </w:pPr>
    </w:p>
    <w:p w14:paraId="76EE7564" w14:textId="77777777" w:rsidR="00C77F4E" w:rsidRDefault="00C77F4E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Глава 3. Цели, задачи и принципы организации СУР</w:t>
      </w:r>
    </w:p>
    <w:p w14:paraId="351A706B" w14:textId="77777777" w:rsidR="00C77F4E" w:rsidRDefault="00C77F4E">
      <w:pPr>
        <w:spacing w:after="1" w:line="220" w:lineRule="atLeast"/>
        <w:jc w:val="both"/>
      </w:pPr>
    </w:p>
    <w:p w14:paraId="525792B6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3.1. Основными целями организации СУР являются:</w:t>
      </w:r>
    </w:p>
    <w:p w14:paraId="04A421C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3.1.1. обеспечение устойчивого финансового положения МФО и защита ее активов;</w:t>
      </w:r>
    </w:p>
    <w:p w14:paraId="27B11BC6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3.1.2. обеспечение разумной гарантии достижения стратегических и операционных целей МФО;</w:t>
      </w:r>
    </w:p>
    <w:p w14:paraId="50834927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3.1.3. обеспечение и защита интересов получателей финансовых услуг, участников (акционеров, учредителей) МФО, а также иных заинтересованных в устойчивом функционировании МФО лиц;</w:t>
      </w:r>
    </w:p>
    <w:p w14:paraId="579A4F4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3.1.4. усиление конкурентных преимуществ МФО в результате максимально точной оценки и управления принимаемыми рисками;</w:t>
      </w:r>
    </w:p>
    <w:p w14:paraId="55E06F7F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3.1.5. превентивное выявление угроз деятельности МФО;</w:t>
      </w:r>
    </w:p>
    <w:p w14:paraId="1E223C05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3.1.6. оперативное реагирование на внешние и внутренние изменения;</w:t>
      </w:r>
    </w:p>
    <w:p w14:paraId="22656056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3.1.7. предотвращение последствий возможных неблагоприятных событий.</w:t>
      </w:r>
    </w:p>
    <w:p w14:paraId="262D98E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3.2. Задачами организации управления рисками МФО являются:</w:t>
      </w:r>
    </w:p>
    <w:p w14:paraId="3E4F078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3.2.1. своевременная идентификация, анализ, оценка рисков и реагирование на них с целью уменьшения вероятности их возникновения и (или) последствий в случае их реализации;</w:t>
      </w:r>
    </w:p>
    <w:p w14:paraId="78E1397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3.2.2. интеграция СУР с основными бизнес-процессами МФО и вовлечение работников МФО в процесс управления рисками;</w:t>
      </w:r>
    </w:p>
    <w:p w14:paraId="736729A7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3.2.3. развитие внутренней среды, способствующей управлению рисками, путем проведения обучающих мероприятий по риск-менеджменту;</w:t>
      </w:r>
    </w:p>
    <w:p w14:paraId="57B5E32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3.2.4. регулярное информирование органов управления МФО, установленных внутренними документами МФО, в том числе о текущем уровне рисков в порядке и с периодичностью, предусмотренными Положением об управлении рисками;</w:t>
      </w:r>
    </w:p>
    <w:p w14:paraId="77D92AC2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3.2.5. повышение уровня ответственности сотрудников за управление рисками, в том числе путем закрепления в должностных инструкциях, положениях о структурных подразделениях и иных </w:t>
      </w:r>
      <w:r>
        <w:rPr>
          <w:rFonts w:ascii="Calibri" w:hAnsi="Calibri" w:cs="Calibri"/>
        </w:rPr>
        <w:lastRenderedPageBreak/>
        <w:t>внутренних документах МФО положений о привлечении к ответственности сотрудников за нарушение внутренних документов МФО и Стандарта.</w:t>
      </w:r>
    </w:p>
    <w:p w14:paraId="614A468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3.3. МФО организует СУР на следующих принципах:</w:t>
      </w:r>
    </w:p>
    <w:p w14:paraId="79802179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3.3.1. Соответствие СУР виду деятельности МФО, характеру и объемам совершаемых операций (принцип пропорциональности).</w:t>
      </w:r>
    </w:p>
    <w:p w14:paraId="439111E6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МФО признает наличие рисков, сопутствующих ее деятельности, и оценивает их влияние на деятельность МФО.</w:t>
      </w:r>
    </w:p>
    <w:p w14:paraId="2F68709C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Управление рисками осуществляется по всем основным видам деятельности, на всех уровнях управления МФО.</w:t>
      </w:r>
    </w:p>
    <w:p w14:paraId="54B4D229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случае совмещения МФО микрофинансовой деятельности с иными видами деятельности СУР должна учитывать влияние всех осуществляемых МФО видов деятельности.</w:t>
      </w:r>
    </w:p>
    <w:p w14:paraId="37EF3F4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Работники МФО, совершающие операции, подверженные рискам, должны быть осведомлены о риске операций и должны осуществлять идентификацию, анализ и оценку рисков перед совершением операций в соответствии с Положением об управлении рисками.</w:t>
      </w:r>
    </w:p>
    <w:p w14:paraId="705BF64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3.3.2. Принцип непрерывности процесса управления рисками.</w:t>
      </w:r>
    </w:p>
    <w:p w14:paraId="1303564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МФО обеспечивает проведение на непрерывной основе процедур, предусмотренных СУР, осуществляемых в соответствии с внутренними документами МФО.</w:t>
      </w:r>
    </w:p>
    <w:p w14:paraId="02110DC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3.3.3. Принцип документирования процедур в рамках СУР.</w:t>
      </w:r>
    </w:p>
    <w:p w14:paraId="634B338F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МФО обеспечивает документальную фиксацию необходимой информации, связанной с организацией СУР, а также утверждение органами управления МФО методологических и регламентных документов по управлению рисками.</w:t>
      </w:r>
    </w:p>
    <w:p w14:paraId="5705D6B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3.3.4. Принцип обеспечения своевременного доведения информации, касающейся СУР, до сведения органов управления МФО.</w:t>
      </w:r>
    </w:p>
    <w:p w14:paraId="160BB65A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Работники МФО в соответствии с их должностными обязанностями обязаны информировать риск-менеджера или руководителя подразделения риск-менеджмента о рисках, возникающих в процессе выполнения их должностных обязанностей. Риск-менеджер или подразделение риск-менеджмента обязаны с периодичностью и в порядке, предусмотренной Положением об управлении рисками, но не реже одного раза в год, (для МФО, соответствующих критериям, установленным </w:t>
      </w:r>
      <w:hyperlink w:anchor="P38" w:history="1">
        <w:r>
          <w:rPr>
            <w:rFonts w:ascii="Calibri" w:hAnsi="Calibri" w:cs="Calibri"/>
            <w:color w:val="0000FF"/>
          </w:rPr>
          <w:t>абзацем первым пункта 2.2</w:t>
        </w:r>
      </w:hyperlink>
      <w:r>
        <w:rPr>
          <w:rFonts w:ascii="Calibri" w:hAnsi="Calibri" w:cs="Calibri"/>
        </w:rPr>
        <w:t xml:space="preserve"> Стандарта - не реже одного раза в полгода) предоставлять органам управления МФО, установленным Положением об управлении рисками и иными внутренними документами МФО, в том числе информацию об уровне принятых МФО рисков и фактах нарушений, выявленных в ходе выполнения установленных процедур управления рисками.</w:t>
      </w:r>
    </w:p>
    <w:p w14:paraId="5A5F5C2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МФО обязана организовать распространение информации, обеспечивающей осведомленность работников МФО относительно целей и задач СУР, а также обязанностей, возникающих в ходе реализации мероприятий по управлению рисками.</w:t>
      </w:r>
    </w:p>
    <w:p w14:paraId="1760477A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3.3.5. Принцип эффективности (достижения заданных результатов с использованием наименьшего объема средств) и оптимальности процессов управления рисками.</w:t>
      </w:r>
    </w:p>
    <w:p w14:paraId="63A2C2F9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Объем и сложность процедур и мер по управлению рисками должны соответствовать целям организации СУР.</w:t>
      </w:r>
    </w:p>
    <w:p w14:paraId="761EB86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МФО проводит анализ соотношения затрат на выполнение процедур и (или) мероприятий по управлению рисками и эффекта от реализации этих процедур и (или) мероприятий. По итогам проведенного анализа производится пересмотр внутренних документов по управлению рисками.</w:t>
      </w:r>
    </w:p>
    <w:p w14:paraId="139426A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3.3.6. Принцип разделения полномочий.</w:t>
      </w:r>
    </w:p>
    <w:p w14:paraId="359A8365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Решения о минимизации рисков могут приниматься на различных уровнях управления МФО в зависимости от значимости рисков (размера вероятных потерь при наступлении рискового события) и вероятности их реализации. Решения о проведении операций, влекущих возникновение рисков, принимаются коллегиально группой должностных лиц либо комитетом, к полномочиям которых отнесено решение подобных вопросов в соответствии с внутренними документами по управлению рисками МФО, за исключением случаев, когда такое право в соответствии с внутренними документами МФО предоставлено органам управления или отдельным должностным лицам.</w:t>
      </w:r>
    </w:p>
    <w:p w14:paraId="03AF872C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МФО должны быть приняты меры по распределению полномочий между структурными подразделениями и (или) работниками МФО, на которых возложены обязанности по проведению операций, связанных с принятием рисков, и риск-менеджером и (или) подразделением риск-менеджмента, на уровне организационной структуры таким образом, чтобы проведение операций, связанных с принятием рисков, и управление рисками не являлись функциями одного структурного подразделения (должностного лица).</w:t>
      </w:r>
    </w:p>
    <w:p w14:paraId="7FE14F6A" w14:textId="77777777" w:rsidR="00C77F4E" w:rsidRDefault="00C77F4E">
      <w:pPr>
        <w:spacing w:after="1" w:line="220" w:lineRule="atLeast"/>
        <w:jc w:val="both"/>
      </w:pPr>
    </w:p>
    <w:p w14:paraId="01B08AB3" w14:textId="77777777" w:rsidR="00C77F4E" w:rsidRDefault="00C77F4E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Глава 4. Подходы к организации системы управления</w:t>
      </w:r>
    </w:p>
    <w:p w14:paraId="6CC5ABCC" w14:textId="77777777" w:rsidR="00C77F4E" w:rsidRDefault="00C77F4E">
      <w:pPr>
        <w:spacing w:after="1" w:line="220" w:lineRule="atLeast"/>
        <w:jc w:val="center"/>
      </w:pPr>
      <w:r>
        <w:rPr>
          <w:rFonts w:ascii="Calibri" w:hAnsi="Calibri" w:cs="Calibri"/>
          <w:b/>
        </w:rPr>
        <w:t>рисками МФО</w:t>
      </w:r>
    </w:p>
    <w:p w14:paraId="765CA8D8" w14:textId="77777777" w:rsidR="00C77F4E" w:rsidRDefault="00C77F4E">
      <w:pPr>
        <w:spacing w:after="1" w:line="220" w:lineRule="atLeast"/>
        <w:jc w:val="both"/>
      </w:pPr>
    </w:p>
    <w:p w14:paraId="5BC6616D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4.1. В рамках организации СУР МФО должна обеспечить организацию процессов, в том числе:</w:t>
      </w:r>
    </w:p>
    <w:p w14:paraId="64946F4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4.1.1. идентификацию рисков;</w:t>
      </w:r>
    </w:p>
    <w:p w14:paraId="2D7E1172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4.1.2. мониторинг, измерение и оценка рисков;</w:t>
      </w:r>
    </w:p>
    <w:p w14:paraId="587018A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4.1.3. управление рисками и контроль за обеспечением управления рисками.</w:t>
      </w:r>
    </w:p>
    <w:p w14:paraId="5F6EC17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4.2. Идентификация рисков.</w:t>
      </w:r>
    </w:p>
    <w:p w14:paraId="3701DE2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4.2.1. Идентификация рисков осуществляется на всех уровнях управления МФО.</w:t>
      </w:r>
    </w:p>
    <w:p w14:paraId="5DB4872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4.2.2. МФО принимает все возможные и доступные меры по идентификации существующих рисков, используя источники информации, в том числе:</w:t>
      </w:r>
    </w:p>
    <w:p w14:paraId="71B1250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письменные опросы и анкетирование работников МФО и привлеченных внешних экспертов;</w:t>
      </w:r>
    </w:p>
    <w:p w14:paraId="33E74DAC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мнения независимых аналитиков и консультантов;</w:t>
      </w:r>
    </w:p>
    <w:p w14:paraId="4B9B935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данные о среднеотраслевых показателях в российской и мировой практике;</w:t>
      </w:r>
    </w:p>
    <w:p w14:paraId="2A6FE12C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результаты внутреннего и внешнего аудита;</w:t>
      </w:r>
    </w:p>
    <w:p w14:paraId="211E1ECA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информацию, полученную в ходе мероприятий в рамках организации в МФО СУР.</w:t>
      </w:r>
    </w:p>
    <w:p w14:paraId="1B900201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4.2.3. МФО в рамках организации СУР по своему усмотрению обеспечивает осуществление мероприятий по управлению видами рисков, включенными в перечень рисков в </w:t>
      </w:r>
      <w:hyperlink w:anchor="P189" w:history="1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 xml:space="preserve"> к Стандарту, а также иными видами рисков по собственному усмотрению.</w:t>
      </w:r>
    </w:p>
    <w:p w14:paraId="7EA992F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4.2.4. МФО обязано включить в СУР мероприятия по управлению рисками, признанными наиболее опасными в соответствии с картой рисков согласно </w:t>
      </w:r>
      <w:hyperlink w:anchor="P213" w:history="1">
        <w:r>
          <w:rPr>
            <w:rFonts w:ascii="Calibri" w:hAnsi="Calibri" w:cs="Calibri"/>
            <w:color w:val="0000FF"/>
          </w:rPr>
          <w:t>Приложению N 2</w:t>
        </w:r>
      </w:hyperlink>
      <w:r>
        <w:rPr>
          <w:rFonts w:ascii="Calibri" w:hAnsi="Calibri" w:cs="Calibri"/>
        </w:rPr>
        <w:t xml:space="preserve"> к Стандарту, а также мероприятия по управлению следующими рисками:</w:t>
      </w:r>
    </w:p>
    <w:p w14:paraId="4A76F25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- кредитный риск &lt;1&gt;</w:t>
      </w:r>
    </w:p>
    <w:p w14:paraId="503B6525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риск ликвидности &lt;2&gt;</w:t>
      </w:r>
    </w:p>
    <w:p w14:paraId="11A4141C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операционный риск &lt;3&gt;</w:t>
      </w:r>
    </w:p>
    <w:p w14:paraId="5EA43D9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правовой риск &lt;4&gt;.</w:t>
      </w:r>
    </w:p>
    <w:p w14:paraId="5DDB349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3D7CD52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&lt;1&gt; Понятие "кредитного риска" предусмотрено в </w:t>
      </w:r>
      <w:hyperlink w:anchor="P189" w:history="1">
        <w:r>
          <w:rPr>
            <w:rFonts w:ascii="Calibri" w:hAnsi="Calibri" w:cs="Calibri"/>
            <w:color w:val="0000FF"/>
          </w:rPr>
          <w:t>приложении 1</w:t>
        </w:r>
      </w:hyperlink>
      <w:r>
        <w:rPr>
          <w:rFonts w:ascii="Calibri" w:hAnsi="Calibri" w:cs="Calibri"/>
        </w:rPr>
        <w:t xml:space="preserve"> Стандарта.</w:t>
      </w:r>
    </w:p>
    <w:p w14:paraId="790911C6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&lt;2&gt; Понятие "риска ликвидности" предусмотрено в </w:t>
      </w:r>
      <w:hyperlink w:anchor="P189" w:history="1">
        <w:r>
          <w:rPr>
            <w:rFonts w:ascii="Calibri" w:hAnsi="Calibri" w:cs="Calibri"/>
            <w:color w:val="0000FF"/>
          </w:rPr>
          <w:t>приложении 1</w:t>
        </w:r>
      </w:hyperlink>
      <w:r>
        <w:rPr>
          <w:rFonts w:ascii="Calibri" w:hAnsi="Calibri" w:cs="Calibri"/>
        </w:rPr>
        <w:t xml:space="preserve"> Стандарта.</w:t>
      </w:r>
    </w:p>
    <w:p w14:paraId="6BFBE15F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&lt;3&gt; Понятие "операционного риска" предусмотрено в </w:t>
      </w:r>
      <w:hyperlink w:anchor="P189" w:history="1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 xml:space="preserve"> Стандарта.</w:t>
      </w:r>
    </w:p>
    <w:p w14:paraId="3901F0E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&lt;4&gt; Понятие "правового риска" предусмотрено в </w:t>
      </w:r>
      <w:hyperlink w:anchor="P189" w:history="1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 xml:space="preserve"> Стандарта.</w:t>
      </w:r>
    </w:p>
    <w:p w14:paraId="1A82827E" w14:textId="77777777" w:rsidR="00C77F4E" w:rsidRDefault="00C77F4E">
      <w:pPr>
        <w:spacing w:after="1" w:line="220" w:lineRule="atLeast"/>
        <w:jc w:val="both"/>
      </w:pPr>
    </w:p>
    <w:p w14:paraId="1BD4C955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4.2.5. Идентифицированные риски и результаты их оценки включаются в реестр рисков. Реестр рисков должен пересматриваться по мере необходимости, с периодичностью, предусмотренной Положением об управлении рисками, но не реже одного раза в год, с учетом результатов идентификации рисков в целях актуализации содержащихся в нем данных.</w:t>
      </w:r>
    </w:p>
    <w:p w14:paraId="4D3C862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4.2.6. Реестр рисков должен содержать следующую информацию:</w:t>
      </w:r>
    </w:p>
    <w:p w14:paraId="25F2D8C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описание риска;</w:t>
      </w:r>
    </w:p>
    <w:p w14:paraId="707287D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определение источников (факторов) риска;</w:t>
      </w:r>
    </w:p>
    <w:p w14:paraId="74D1CBC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качественное описание последствий реализации риска (сценариев развития событий) и оценка их влияния на деятельность МФО;</w:t>
      </w:r>
    </w:p>
    <w:p w14:paraId="2F842DA6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оценка вероятности реализации риска;</w:t>
      </w:r>
    </w:p>
    <w:p w14:paraId="7CD7F95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оценка влияния риска на другие риски;</w:t>
      </w:r>
    </w:p>
    <w:p w14:paraId="0486709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мероприятия и/или процедуры по управлению риском;</w:t>
      </w:r>
    </w:p>
    <w:p w14:paraId="349A9BB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лицо и/или подразделение, ответственное за проведение и учет операций, подверженных рискам;</w:t>
      </w:r>
    </w:p>
    <w:p w14:paraId="2A537D5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лицо и/или подразделение, ответственное за мероприятия по управлению данным риском;</w:t>
      </w:r>
    </w:p>
    <w:p w14:paraId="5FFB3FC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примечания, перечень используемых для идентификации и оценки риска источников информации и другие сведения.</w:t>
      </w:r>
    </w:p>
    <w:p w14:paraId="44C992D9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4.3. Мониторинг, измерение и оценка рисков.</w:t>
      </w:r>
    </w:p>
    <w:p w14:paraId="0413707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4.3.1. Мониторинг рисков реализуется путем получения от структурных подразделений, работников МФО, на которых возложены обязанности по проведению операций, связанных с принятием рисков, риск-менеджеров, подразделений риск-менеджмента и других источников на регулярной основе и анализа информации о рисках, результатах проведения мероприятий по управлению рисками, а также о ходе реализации мероприятий по управлению рисками.</w:t>
      </w:r>
    </w:p>
    <w:p w14:paraId="78CE52B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4.3.2. Измерение и оценка совокупных вероятных последствий рисков, а также вероятных последствий отдельных рисков, включенных в реестр рисков МФО, должны осуществляться в соответствии с порядком, определяемым Положением об управлении рисками.</w:t>
      </w:r>
    </w:p>
    <w:p w14:paraId="1E47BC8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4.3.3. Работники МФО принимают участие в организации процесса непрерывного мониторинга рисков в соответствии с требованиями, установленными Положением об управлении рисками и иными внутренними документами МФО.</w:t>
      </w:r>
    </w:p>
    <w:p w14:paraId="41193C1F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4.4. Управление рисками и контроль за обеспечением управления рисками.</w:t>
      </w:r>
    </w:p>
    <w:p w14:paraId="0024555F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4.4.1. По результатам оценки идентифицированных рисков риск-менеджер или подразделения риск-менеджмента разрабатывают, внедряют мероприятия по управлению рисками и доводят информацию о них до сведения органов управления МФО в соответствии с Положением об управлении рисками.</w:t>
      </w:r>
    </w:p>
    <w:p w14:paraId="0CEBC467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4.4.2. Процедуры контроля за обеспечением управления рисками включают регулярное направление информации и отчетов, соответствующих требованиям </w:t>
      </w:r>
      <w:hyperlink w:anchor="P173" w:history="1">
        <w:r>
          <w:rPr>
            <w:rFonts w:ascii="Calibri" w:hAnsi="Calibri" w:cs="Calibri"/>
            <w:color w:val="0000FF"/>
          </w:rPr>
          <w:t>пункта 5.10</w:t>
        </w:r>
      </w:hyperlink>
      <w:r>
        <w:rPr>
          <w:rFonts w:ascii="Calibri" w:hAnsi="Calibri" w:cs="Calibri"/>
        </w:rPr>
        <w:t xml:space="preserve"> Стандарта, органам управления МФО и должностным лицам, ответственным за обеспечение управления рисками в соответствии с внутренними документами по управлению рисками МФО с периодичностью, установленной внутренними документами МФО, но не реже одного раза в год (для МФО, соответствующих критериям, установленным </w:t>
      </w:r>
      <w:hyperlink w:anchor="P38" w:history="1">
        <w:r>
          <w:rPr>
            <w:rFonts w:ascii="Calibri" w:hAnsi="Calibri" w:cs="Calibri"/>
            <w:color w:val="0000FF"/>
          </w:rPr>
          <w:t>пунктом 2.2</w:t>
        </w:r>
      </w:hyperlink>
      <w:r>
        <w:rPr>
          <w:rFonts w:ascii="Calibri" w:hAnsi="Calibri" w:cs="Calibri"/>
        </w:rPr>
        <w:t xml:space="preserve"> Стандарта - не реже одного раза в полгода).</w:t>
      </w:r>
    </w:p>
    <w:p w14:paraId="4BDA614F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4.4.3. Мероприятия по управлению рисками по усмотрению МФО включают, в том числе следующие процедуры:</w:t>
      </w:r>
    </w:p>
    <w:p w14:paraId="13D3FD4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оптимизация риска - процедуры, направленные на снижение вероятности риска, либо на уменьшение последствий риска (в том числе процедуры, направленные на минимизацию последствий риска, являющегося причиной возникновения оптимизируемого риска);</w:t>
      </w:r>
    </w:p>
    <w:p w14:paraId="46A7E1A2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передача риска - переход последствий риска от МФО полностью или частично к другой организации на основании договора (например, договора страхования, в соответствии с которым риск передается страховой компании, либо передача третьим лицам операций, подверженных рискам (аутсорсинг), либо хеджирование риска при помощи производных финансовых инструментов);</w:t>
      </w:r>
    </w:p>
    <w:p w14:paraId="3187EC1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избежание риска - замена операций, подверженных рискам, на операции с меньшим риском, либо отказ от совершения операций, подверженных рискам, а также процедуры, направленные на устранение источников (факторов) риска, возникающего при осуществлении операций;</w:t>
      </w:r>
    </w:p>
    <w:p w14:paraId="4678882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включение в бюджет МФО расходов на оперативное устранение последствий рисковых событий.</w:t>
      </w:r>
    </w:p>
    <w:p w14:paraId="190BB4DB" w14:textId="77777777" w:rsidR="00C77F4E" w:rsidRDefault="00C77F4E">
      <w:pPr>
        <w:spacing w:after="1" w:line="220" w:lineRule="atLeast"/>
        <w:jc w:val="both"/>
      </w:pPr>
    </w:p>
    <w:p w14:paraId="7125FEFC" w14:textId="77777777" w:rsidR="00C77F4E" w:rsidRDefault="00C77F4E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Глава 5. Система разделения полномочий, функционал</w:t>
      </w:r>
    </w:p>
    <w:p w14:paraId="59B40A0C" w14:textId="77777777" w:rsidR="00C77F4E" w:rsidRDefault="00C77F4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и внутренние процедуры МФО в сфере управления рисками</w:t>
      </w:r>
    </w:p>
    <w:p w14:paraId="6AF25BFA" w14:textId="77777777" w:rsidR="00C77F4E" w:rsidRDefault="00C77F4E">
      <w:pPr>
        <w:spacing w:after="1" w:line="220" w:lineRule="atLeast"/>
        <w:jc w:val="both"/>
      </w:pPr>
    </w:p>
    <w:p w14:paraId="6EBF7C0E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5.1. Положение об управлении рисками должно содержать следующие положения:</w:t>
      </w:r>
    </w:p>
    <w:p w14:paraId="4307173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цели и задачи управления рисками МФО;</w:t>
      </w:r>
    </w:p>
    <w:p w14:paraId="0211F1F2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организационную структуру СУР МФО, полномочия органов управления, отдельных работников МФО в сфере управления рисками и порядок их взаимодействия;</w:t>
      </w:r>
    </w:p>
    <w:p w14:paraId="057B926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основные подходы к идентификации, оценке, контролю рисков и реагированию на риски, а также к минимизации негативных последствий реализации рисков;</w:t>
      </w:r>
    </w:p>
    <w:p w14:paraId="70AC49D1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порядок определения приемлемых уровней рисков и допустимых вероятных последствий риска по отдельным видам риска и по организации в целом;</w:t>
      </w:r>
    </w:p>
    <w:p w14:paraId="1C98C3F1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- порядок действий в нестандартных и чрезвычайных ситуациях;</w:t>
      </w:r>
    </w:p>
    <w:p w14:paraId="2BA1A3D5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порядок фиксации решений должностных лиц, ответственных за операции, связанные с принятием рисков, решений органов управления МФО, по вопросам управления рисками, а также мероприятий, событий и действий, связанных с управлением рисками;</w:t>
      </w:r>
    </w:p>
    <w:p w14:paraId="7316ED7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порядок и сроки представления должностными лицами и (или) структурными подразделениями, ответственными за обеспечение управления рисками, внутренней отчетности по управлению рисками, порядок обмена информацией по вопросам управления рисками и доведения до работников МФО Положения об управлении рисками и иных внутренних документов, связанных с управлением рисками;</w:t>
      </w:r>
    </w:p>
    <w:p w14:paraId="51A07B7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принципы и порядок раскрытия информации об управлении рисками МФО;</w:t>
      </w:r>
    </w:p>
    <w:p w14:paraId="14AE7076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порядок ведения реестра рисков, возникающих в процессе осуществления микрофинансовой деятельности (реестр рисков).</w:t>
      </w:r>
    </w:p>
    <w:p w14:paraId="031D10A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5.2. Положение об управлении рисками может состоять из одного или нескольких документов.</w:t>
      </w:r>
    </w:p>
    <w:p w14:paraId="0D136E9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5.3. Положение об управлении рисками пересматривается по мере необходимости, но не реже одного раза в год в целях актуализации содержащихся в них сведений и (или) повышения эффективности функционирования СУР МФО.</w:t>
      </w:r>
    </w:p>
    <w:p w14:paraId="3D87687C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5.4. МФО назначает риск-менеджера или формирует структурное подразделение риск-менеджмента.</w:t>
      </w:r>
    </w:p>
    <w:p w14:paraId="0EC039A7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5.4.1. При наличии у МФО дочерних компаний, осуществляющих микрофинансовую деятельность, в штат работников каждой дочерней компании может быть включен риск-менеджер и (или) создано подразделение риск-менеджмента дочерней компании. Также функции риск-менеджера (подразделения риск-менеджмента) дочерней компании может исполнять по договору риск-менеджер (подразделение риск-менеджмента) головной МФО.</w:t>
      </w:r>
    </w:p>
    <w:p w14:paraId="7F707356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5.4.2. При вхождении МФО в группу компаний, осуществляющую микрофинансовую деятельность, функции риск-менеджера и (или) подразделения риск-менеджмента МФО может исполнять по договору риск-менеджер (подразделение риск-менеджмента) МФО - головной организации группы или МФО - участника группы.</w:t>
      </w:r>
    </w:p>
    <w:p w14:paraId="1805A8E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5.4.3. Часть функций риск-менеджера и (или) подразделения риск-менеджмента МФО (за исключением МФО, соответствующих критериям, установленным </w:t>
      </w:r>
      <w:hyperlink w:anchor="P38" w:history="1">
        <w:r>
          <w:rPr>
            <w:rFonts w:ascii="Calibri" w:hAnsi="Calibri" w:cs="Calibri"/>
            <w:color w:val="0000FF"/>
          </w:rPr>
          <w:t>пунктом 2.2</w:t>
        </w:r>
      </w:hyperlink>
      <w:r>
        <w:rPr>
          <w:rFonts w:ascii="Calibri" w:hAnsi="Calibri" w:cs="Calibri"/>
        </w:rPr>
        <w:t xml:space="preserve"> Стандарта) могут быть переданы по договору сторонней организации. Передача функций риск-менеджера и (или) подразделения риск-менеджмента не освобождает от ответственности за организацию СУР и за соответствие деятельности МФО Положению об управлении рисками и иным внутренним документам МФО в области СУР риск-менеджера и (или) подразделение риск-менеджмента МФО.</w:t>
      </w:r>
    </w:p>
    <w:p w14:paraId="2C2C4BF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5.5. Положением об управлении рисками и иными внутренними документами МФО должно быть определено, какие из следующих вопросов управления рисками относятся к компетенции совета директоров (наблюдательного совета) МФО, общего собрания участников (акционеров) МФО, исполнительных органов МФО, иных органов и подразделений МФО:</w:t>
      </w:r>
    </w:p>
    <w:p w14:paraId="3A6A9A6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разработка Положения об управлении рисками и иных внутренних документов МФО, регулирующих вопросы управления рисками;</w:t>
      </w:r>
    </w:p>
    <w:p w14:paraId="26B2DF5A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- распределение полномочий в сфере управления рисками между структурными подразделениями, отдельными работниками, осуществляющими управленческие функции, </w:t>
      </w:r>
      <w:r>
        <w:rPr>
          <w:rFonts w:ascii="Calibri" w:hAnsi="Calibri" w:cs="Calibri"/>
        </w:rPr>
        <w:lastRenderedPageBreak/>
        <w:t>установление порядка взаимодействия, обмена данными и представления внутренней отчетности по управлению рисками;</w:t>
      </w:r>
    </w:p>
    <w:p w14:paraId="372F496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утверждение правил и методов оценки рисков и формирования внутренней отчетности по управлению рисками;</w:t>
      </w:r>
    </w:p>
    <w:p w14:paraId="2C20AA3F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обеспечение необходимыми ресурсами работников МФО для осуществления ими управления рисками;</w:t>
      </w:r>
    </w:p>
    <w:p w14:paraId="7C300FF2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обеспечение работников МФО доступом к информации, необходимой для реализации мероприятий и процедур по управлению рисками;</w:t>
      </w:r>
    </w:p>
    <w:p w14:paraId="5AE0A7A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установление допустимых уровней потерь (лимитов) по всем выявленным рискам МФО на основании предложений риск-менеджера или руководителя подразделения риск менеджмента МФО;</w:t>
      </w:r>
    </w:p>
    <w:p w14:paraId="778DA649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организация обучения работников МФО методам управления рисками;</w:t>
      </w:r>
    </w:p>
    <w:p w14:paraId="103123D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организация внутренних расследований случаев реализации рисков;</w:t>
      </w:r>
    </w:p>
    <w:p w14:paraId="48381F4F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информирование органов управления МФО о фактах нарушения положений внутренних документов МФО по управлению рисками;</w:t>
      </w:r>
    </w:p>
    <w:p w14:paraId="2C15E262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периодичность мониторинга актуальности реестра рисков и проведения мониторинга актуальности внутренних документов по управлению рисками.</w:t>
      </w:r>
    </w:p>
    <w:p w14:paraId="5E9A846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5.6. К компетенции риск-менеджера или подразделения риск-менеджмента относится решение следующих вопросов:</w:t>
      </w:r>
    </w:p>
    <w:p w14:paraId="68D6ED4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разработка и внедрение методик идентификации, оценки и контроля уровня рисков;</w:t>
      </w:r>
    </w:p>
    <w:p w14:paraId="18590ED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разработка и внедрение мер и процедур реагирования и минимизации рисков и организация устранения последствий реализации рисков;</w:t>
      </w:r>
    </w:p>
    <w:p w14:paraId="2B9C00D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анализ и прогнозирование состояния СУР, выявление критических (наиболее опасных) бизнес-процессов и источников рисков, участие в оценке достаточности капитала, финансовых ресурсов и резервов, предназначенных для управления рисками;</w:t>
      </w:r>
    </w:p>
    <w:p w14:paraId="1AD9EA31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выявление и изучение возможных угроз возникновения рисков в профессиональной деятельности МФО, планирование профилактических мероприятий;</w:t>
      </w:r>
    </w:p>
    <w:p w14:paraId="34FA0D5A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оперативный анализ рисков операций, контрагентов, клиентов, подготовка рекомендаций по минимизации рисков, участие в согласовании операций, связанных с принятием рисков, в пределах компетенции, в случае если это предусмотрено внутренними документами МФО;</w:t>
      </w:r>
    </w:p>
    <w:p w14:paraId="77DF0E55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координация взаимодействия подразделений и работников МФО по вопросам управления рисками в пределах компетенции в соответствии с порядком, установленным Положением об управлении рисками и иными внутренними документами;</w:t>
      </w:r>
    </w:p>
    <w:p w14:paraId="4335CE8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анализ случившихся рисковых событий;</w:t>
      </w:r>
    </w:p>
    <w:p w14:paraId="02404658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разработка программ обучения работников МФО методам и инструментам управления рисками;</w:t>
      </w:r>
    </w:p>
    <w:p w14:paraId="76D74DC5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- подготовка и представление должностным лицам, ответственным за обеспечение управления рисками, и органам управления МФО, установленным Положением об управлении </w:t>
      </w:r>
      <w:r>
        <w:rPr>
          <w:rFonts w:ascii="Calibri" w:hAnsi="Calibri" w:cs="Calibri"/>
        </w:rPr>
        <w:lastRenderedPageBreak/>
        <w:t>рисками и иными внутренними документами МФО, внутренней отчетности по управлению рисками в МФО в пределах компетенции.</w:t>
      </w:r>
    </w:p>
    <w:p w14:paraId="3CCF7A6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5.7. Риск-менеджер или подразделение риск-менеджмента должны быть независимы в своей деятельности от других структурных подразделений МФО и подчиняться по усмотрению МФО непосредственно совету директоров, или единоличному исполнительному органу, или иным органам управления МФО, уполномоченным органами управления МФО.</w:t>
      </w:r>
    </w:p>
    <w:p w14:paraId="7E987BB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5.8. Риск-менеджер и (или) руководитель подразделения риск-менеджмента должен обладать соответствующей его должности квалификацией, определенной Положением об управлении рисками МФО.</w:t>
      </w:r>
    </w:p>
    <w:p w14:paraId="3AD0013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5.9. МФО создает эффективную систему внутренней отчетности по управлению рисками. Объем отчетности должен быть соизмерим с уровнем рисков и масштабом деятельности МФО (рекомендуемая форма отчетности в </w:t>
      </w:r>
      <w:hyperlink w:anchor="P282" w:history="1">
        <w:r>
          <w:rPr>
            <w:rFonts w:ascii="Calibri" w:hAnsi="Calibri" w:cs="Calibri"/>
            <w:color w:val="0000FF"/>
          </w:rPr>
          <w:t>Приложении N 3</w:t>
        </w:r>
      </w:hyperlink>
      <w:r>
        <w:rPr>
          <w:rFonts w:ascii="Calibri" w:hAnsi="Calibri" w:cs="Calibri"/>
        </w:rPr>
        <w:t xml:space="preserve"> к Стандарту).</w:t>
      </w:r>
    </w:p>
    <w:p w14:paraId="58CA6E45" w14:textId="77777777" w:rsidR="00C77F4E" w:rsidRDefault="00C77F4E">
      <w:pPr>
        <w:spacing w:before="220" w:after="1" w:line="220" w:lineRule="atLeast"/>
        <w:ind w:firstLine="540"/>
        <w:jc w:val="both"/>
      </w:pPr>
      <w:bookmarkStart w:id="1" w:name="P173"/>
      <w:bookmarkEnd w:id="1"/>
      <w:r>
        <w:rPr>
          <w:rFonts w:ascii="Calibri" w:hAnsi="Calibri" w:cs="Calibri"/>
        </w:rPr>
        <w:t>5.10. Внутренняя отчетность по управлению рисками должна содержать, в том числе следующую информацию:</w:t>
      </w:r>
    </w:p>
    <w:p w14:paraId="68F5331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лицо и (или) структурное подразделение, ответственное за реализацию мероприятий по управлению рисками;</w:t>
      </w:r>
    </w:p>
    <w:p w14:paraId="21B6EEE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периодичность и срок проведения мероприятий, в том числе фактический срок выполнения мероприятий;</w:t>
      </w:r>
    </w:p>
    <w:p w14:paraId="01F6CD36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статус выполнения мероприятия;</w:t>
      </w:r>
    </w:p>
    <w:p w14:paraId="742B4F2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остаточный риск после выполнения комплекса мероприятий;</w:t>
      </w:r>
    </w:p>
    <w:p w14:paraId="3C898B41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мероприятия, направленные на минимизацию остаточных рисков и сроки их проведения;</w:t>
      </w:r>
    </w:p>
    <w:p w14:paraId="03B00A9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паспорт риска, включающий информацию о рисках, о мероприятиях по управлению рисками, о реализовавшихся рисках, процедуры реагирования на рисковое событие, ключевые индикаторы риска.</w:t>
      </w:r>
    </w:p>
    <w:p w14:paraId="13940640" w14:textId="77777777" w:rsidR="00C77F4E" w:rsidRDefault="00C77F4E">
      <w:pPr>
        <w:spacing w:after="1" w:line="220" w:lineRule="atLeast"/>
        <w:jc w:val="both"/>
      </w:pPr>
    </w:p>
    <w:p w14:paraId="30C0773A" w14:textId="77777777" w:rsidR="00C77F4E" w:rsidRDefault="00C77F4E">
      <w:pPr>
        <w:spacing w:after="1" w:line="220" w:lineRule="atLeast"/>
        <w:jc w:val="center"/>
        <w:outlineLvl w:val="1"/>
      </w:pPr>
      <w:r>
        <w:rPr>
          <w:rFonts w:ascii="Calibri" w:hAnsi="Calibri" w:cs="Calibri"/>
          <w:b/>
        </w:rPr>
        <w:t>Глава 6. Заключительные положения</w:t>
      </w:r>
    </w:p>
    <w:p w14:paraId="62AACBD4" w14:textId="77777777" w:rsidR="00C77F4E" w:rsidRDefault="00C77F4E">
      <w:pPr>
        <w:spacing w:after="1" w:line="220" w:lineRule="atLeast"/>
        <w:jc w:val="both"/>
      </w:pPr>
    </w:p>
    <w:p w14:paraId="4D5A6319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6.1. Настоящий стандарт применяется через сто восемьдесят дней со дня его размещения на официальном сайте Банка России в информационно - телекоммуникационной сети "Интернет".</w:t>
      </w:r>
    </w:p>
    <w:p w14:paraId="1F98A32E" w14:textId="77777777" w:rsidR="00C77F4E" w:rsidRDefault="00C77F4E">
      <w:pPr>
        <w:spacing w:after="1" w:line="220" w:lineRule="atLeast"/>
        <w:jc w:val="both"/>
      </w:pPr>
    </w:p>
    <w:p w14:paraId="3DB8E12C" w14:textId="77777777" w:rsidR="00C77F4E" w:rsidRDefault="00C77F4E">
      <w:pPr>
        <w:spacing w:after="1" w:line="220" w:lineRule="atLeast"/>
        <w:jc w:val="both"/>
      </w:pPr>
    </w:p>
    <w:p w14:paraId="78A31711" w14:textId="77777777" w:rsidR="00C77F4E" w:rsidRDefault="00C77F4E">
      <w:pPr>
        <w:spacing w:after="1" w:line="220" w:lineRule="atLeast"/>
        <w:jc w:val="both"/>
      </w:pPr>
    </w:p>
    <w:p w14:paraId="23B8EF53" w14:textId="77777777" w:rsidR="00C77F4E" w:rsidRDefault="00C77F4E">
      <w:pPr>
        <w:spacing w:after="1" w:line="220" w:lineRule="atLeast"/>
        <w:jc w:val="both"/>
      </w:pPr>
    </w:p>
    <w:p w14:paraId="08C1F848" w14:textId="77777777" w:rsidR="00C77F4E" w:rsidRDefault="00C77F4E">
      <w:pPr>
        <w:spacing w:after="1" w:line="220" w:lineRule="atLeast"/>
        <w:jc w:val="both"/>
      </w:pPr>
    </w:p>
    <w:p w14:paraId="145E8D51" w14:textId="77777777" w:rsidR="00C77F4E" w:rsidRDefault="00C77F4E">
      <w:pPr>
        <w:spacing w:after="1" w:line="220" w:lineRule="atLeast"/>
        <w:jc w:val="right"/>
        <w:outlineLvl w:val="0"/>
      </w:pPr>
      <w:bookmarkStart w:id="2" w:name="P189"/>
      <w:bookmarkEnd w:id="2"/>
      <w:r>
        <w:rPr>
          <w:rFonts w:ascii="Calibri" w:hAnsi="Calibri" w:cs="Calibri"/>
        </w:rPr>
        <w:t>Приложение N 1</w:t>
      </w:r>
    </w:p>
    <w:p w14:paraId="0A6027E2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к Стандарту</w:t>
      </w:r>
    </w:p>
    <w:p w14:paraId="25E6B935" w14:textId="77777777" w:rsidR="00C77F4E" w:rsidRDefault="00C77F4E">
      <w:pPr>
        <w:spacing w:after="1" w:line="220" w:lineRule="atLeast"/>
        <w:jc w:val="both"/>
      </w:pPr>
    </w:p>
    <w:p w14:paraId="1F5BF142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К основным видам рисков МФО относятся:</w:t>
      </w:r>
    </w:p>
    <w:p w14:paraId="2543440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Кредитный риск - риск возникновения у МФО убытков вследствие неисполнения, несвоевременного либо неполного исполнения заемщиком или иным контрагентом договорных обязательств перед МФО.</w:t>
      </w:r>
    </w:p>
    <w:p w14:paraId="2094715E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Рыночный риск - риск возникновения у МФО убытков вследствие неблагоприятного изменения рыночной коньюктуры, текущей (справедливой) стоимости финансовых инструментов, а также курсов иностранных валют и (или) учетных цен на драгоценные металлы.</w:t>
      </w:r>
    </w:p>
    <w:p w14:paraId="79CDF3EB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Процентный риск - риск ухудшения финансового положения МФО вследствие снижения размера капитала, уровня доходов, стоимости активов в результате изменения процентных ставок на рынке.</w:t>
      </w:r>
    </w:p>
    <w:p w14:paraId="6D13773A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Риск ликвидности - риск неспособности МФО финансировать свою деятельность, то есть обеспечивать рост активов и выполнять обязательства по мере наступления сроков их исполнения без понесения убытков в размере, угрожающем финансовой устойчивости микрофинансовой организации.</w:t>
      </w:r>
    </w:p>
    <w:p w14:paraId="1ED1EBD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Операционный риск - риск возникновения убытков в результате ненадежности и недостатков внутренних процедур управления МФО, отказа информационных и иных систем либо вследствие влияния на деятельность МФО внешних событий.</w:t>
      </w:r>
    </w:p>
    <w:p w14:paraId="7650CBF3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Правовой риск - риск возникновения у МФО убытков вследствие:</w:t>
      </w:r>
    </w:p>
    <w:p w14:paraId="14AD225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допускаемых правовых ошибок при осуществлении деятельности (неправильные юридические консультации или неверное составление документов, в том числе при рассмотрении спорных вопросов в судебных органах);</w:t>
      </w:r>
    </w:p>
    <w:p w14:paraId="510C11A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несовершенства правовой системы (противоречивость законодательства, отсутствие правовых норм по регулированию отдельных вопросов, возникающих в процессе деятельности МФО);</w:t>
      </w:r>
    </w:p>
    <w:p w14:paraId="570DA1D5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нарушения контрагентами нормативных правовых актов, а также нарушения МФО или ее контрагентами условий заключенных договоров.</w:t>
      </w:r>
    </w:p>
    <w:p w14:paraId="41065FB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Регуляторный риск - риск возникновения убытков из-за несоблюдения МФО требований законодательства Российской Федерации, нормативных правовых актов (включая нормативные акты Банка России), базовых стандартов, внутренних документов микрофинансовой организации, а также в результате применения санкций и (или) иных мер воздействия со стороны надзорных органов.</w:t>
      </w:r>
    </w:p>
    <w:p w14:paraId="2C93BD1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Риск потери деловой репутации МФО (репутационный риск) - риск возникновения у МФО убытков в результате негативного восприятия МФО со стороны ее участников, контрагентов, надзорных органов и иных заинтересованных сторон, которые могут негативно повлиять на способность МФО поддерживать существующие и (или) устанавливать новые деловые отношения и поддерживать на постоянной основе доступ к источникам финансирования.</w:t>
      </w:r>
    </w:p>
    <w:p w14:paraId="3AC8DBC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Стратегический риск - риск неблагоприятного изменения результатов деятельности МФО вследствие принятия ошибочных решений в процессе управления МФО, в том числе при разработке, утверждении и реализации стратегии развития МФО, ненадлежащем исполнении принятых решений, а также неспособности органов управления МФО учитывать изменения внешних факторов.</w:t>
      </w:r>
    </w:p>
    <w:p w14:paraId="46A3B695" w14:textId="77777777" w:rsidR="00C77F4E" w:rsidRDefault="00C77F4E">
      <w:pPr>
        <w:spacing w:after="1" w:line="220" w:lineRule="atLeast"/>
        <w:jc w:val="both"/>
      </w:pPr>
    </w:p>
    <w:p w14:paraId="11A05DCE" w14:textId="77777777" w:rsidR="00C77F4E" w:rsidRDefault="00C77F4E">
      <w:pPr>
        <w:spacing w:after="1" w:line="220" w:lineRule="atLeast"/>
        <w:jc w:val="both"/>
      </w:pPr>
    </w:p>
    <w:p w14:paraId="503B5BFC" w14:textId="77777777" w:rsidR="00C77F4E" w:rsidRDefault="00C77F4E">
      <w:pPr>
        <w:spacing w:after="1" w:line="220" w:lineRule="atLeast"/>
        <w:jc w:val="both"/>
      </w:pPr>
    </w:p>
    <w:p w14:paraId="1044BC93" w14:textId="77777777" w:rsidR="00C77F4E" w:rsidRDefault="00C77F4E">
      <w:pPr>
        <w:spacing w:after="1" w:line="220" w:lineRule="atLeast"/>
        <w:jc w:val="both"/>
      </w:pPr>
    </w:p>
    <w:p w14:paraId="380307B4" w14:textId="77777777" w:rsidR="00C77F4E" w:rsidRDefault="00C77F4E">
      <w:pPr>
        <w:spacing w:after="1" w:line="220" w:lineRule="atLeast"/>
        <w:jc w:val="both"/>
      </w:pPr>
    </w:p>
    <w:p w14:paraId="674B55FC" w14:textId="77777777" w:rsidR="00C77F4E" w:rsidRDefault="00C77F4E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Приложение N 2</w:t>
      </w:r>
    </w:p>
    <w:p w14:paraId="502E9D55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к Стандарту</w:t>
      </w:r>
    </w:p>
    <w:p w14:paraId="2756983A" w14:textId="77777777" w:rsidR="00C77F4E" w:rsidRDefault="00C77F4E">
      <w:pPr>
        <w:spacing w:after="1" w:line="220" w:lineRule="atLeast"/>
        <w:jc w:val="both"/>
      </w:pPr>
    </w:p>
    <w:p w14:paraId="401AB473" w14:textId="77777777" w:rsidR="00C77F4E" w:rsidRDefault="00C77F4E">
      <w:pPr>
        <w:spacing w:after="1" w:line="220" w:lineRule="atLeast"/>
        <w:jc w:val="center"/>
      </w:pPr>
      <w:bookmarkStart w:id="3" w:name="P213"/>
      <w:bookmarkEnd w:id="3"/>
      <w:r>
        <w:rPr>
          <w:rFonts w:ascii="Calibri" w:hAnsi="Calibri" w:cs="Calibri"/>
          <w:b/>
        </w:rPr>
        <w:t>КАРТА РИСКА</w:t>
      </w:r>
    </w:p>
    <w:p w14:paraId="5B896F46" w14:textId="77777777" w:rsidR="00C77F4E" w:rsidRDefault="00C77F4E">
      <w:pPr>
        <w:spacing w:after="1" w:line="220" w:lineRule="atLeast"/>
        <w:jc w:val="both"/>
      </w:pPr>
    </w:p>
    <w:p w14:paraId="427EC5EB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Общий подход к построению карты рисков:</w:t>
      </w:r>
    </w:p>
    <w:p w14:paraId="147B9B05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Карта рисков представляет собой схематичное отображение классификации рисков по степени их значимости и вероятности реализации.</w:t>
      </w:r>
    </w:p>
    <w:p w14:paraId="64F6CFB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Значимость представляет собой характеристику степени возможного ущерба от рискового события (прямые финансовые потери, упущенные возможности и косвенные финансовые потери, невыполнение поставленных целей и задач и др.). Значимость может быть измерена в денежном выражении как оценка возможных потерь от рискового события, но недопустимо использовать денежную оценку в качестве единственной меры существенности риска.</w:t>
      </w:r>
    </w:p>
    <w:p w14:paraId="6B8B11C4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Вероятность реализации риска определяет вероятность наступления рискового события, приносящего ущерб. Вероятность может оцениваться при помощи статистических моделей или методов экспертной оценки.</w:t>
      </w:r>
    </w:p>
    <w:p w14:paraId="51358330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карте рисков анализируемые риски группируются в зависимости от степеней значимости и вероятности их реализации. Рекомендуется выделять низкую, среднюю и высокую степень значимости риска и вероятности его реализации.</w:t>
      </w:r>
    </w:p>
    <w:p w14:paraId="0CF6B35D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карте риска формируется 9 сегментов, в которых группируются риски, имеющие равные оценки значимости и вероятности реализации. Деление рисков по этим сегментам производится с целью дифференциации подходов к управлению рисками, имеющими различный уровень значимости и вероятности реализации.</w:t>
      </w:r>
    </w:p>
    <w:p w14:paraId="6F4BB1FA" w14:textId="77777777" w:rsidR="00C77F4E" w:rsidRDefault="00C77F4E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Наиболее опасными признаются риски, сгруппированные в сегментах, соответствующих одновременно высокой степени значимости и высокой вероятности реализации, высокой степени значимости и средней степени вероятности реализации, средней степени значимости и высокой степени вероятности реализации.</w:t>
      </w:r>
    </w:p>
    <w:p w14:paraId="45F7B0B1" w14:textId="77777777" w:rsidR="00C77F4E" w:rsidRDefault="00C77F4E">
      <w:pPr>
        <w:spacing w:after="1" w:line="220" w:lineRule="atLeast"/>
        <w:jc w:val="both"/>
      </w:pPr>
    </w:p>
    <w:p w14:paraId="4A424D4B" w14:textId="77777777" w:rsidR="00C77F4E" w:rsidRDefault="00C77F4E">
      <w:pPr>
        <w:spacing w:after="1" w:line="220" w:lineRule="atLeast"/>
        <w:outlineLvl w:val="1"/>
      </w:pPr>
      <w:r>
        <w:rPr>
          <w:rFonts w:ascii="Calibri" w:hAnsi="Calibri" w:cs="Calibri"/>
          <w:b/>
        </w:rPr>
        <w:t>Таблица 1. Структура карты рисков</w:t>
      </w:r>
    </w:p>
    <w:p w14:paraId="6C9C0BA9" w14:textId="77777777" w:rsidR="00C77F4E" w:rsidRDefault="00C77F4E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2324"/>
        <w:gridCol w:w="2211"/>
        <w:gridCol w:w="2154"/>
      </w:tblGrid>
      <w:tr w:rsidR="00C77F4E" w14:paraId="5E55E618" w14:textId="77777777">
        <w:tc>
          <w:tcPr>
            <w:tcW w:w="2381" w:type="dxa"/>
          </w:tcPr>
          <w:p w14:paraId="3978554C" w14:textId="77777777" w:rsidR="00C77F4E" w:rsidRDefault="00C77F4E">
            <w:pPr>
              <w:spacing w:after="1" w:line="220" w:lineRule="atLeast"/>
            </w:pPr>
          </w:p>
        </w:tc>
        <w:tc>
          <w:tcPr>
            <w:tcW w:w="2324" w:type="dxa"/>
          </w:tcPr>
          <w:p w14:paraId="586D04AC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Высокая значимость</w:t>
            </w:r>
          </w:p>
        </w:tc>
        <w:tc>
          <w:tcPr>
            <w:tcW w:w="2211" w:type="dxa"/>
          </w:tcPr>
          <w:p w14:paraId="69591FEF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Средняя значимость</w:t>
            </w:r>
          </w:p>
        </w:tc>
        <w:tc>
          <w:tcPr>
            <w:tcW w:w="2154" w:type="dxa"/>
          </w:tcPr>
          <w:p w14:paraId="1B2B11C8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Низкая значимость</w:t>
            </w:r>
          </w:p>
        </w:tc>
      </w:tr>
      <w:tr w:rsidR="00C77F4E" w14:paraId="6285082A" w14:textId="77777777">
        <w:tc>
          <w:tcPr>
            <w:tcW w:w="2381" w:type="dxa"/>
          </w:tcPr>
          <w:p w14:paraId="206908A7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Высокая вероятность</w:t>
            </w:r>
          </w:p>
        </w:tc>
        <w:tc>
          <w:tcPr>
            <w:tcW w:w="2324" w:type="dxa"/>
          </w:tcPr>
          <w:p w14:paraId="787DB1A7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Опасные риски</w:t>
            </w:r>
          </w:p>
        </w:tc>
        <w:tc>
          <w:tcPr>
            <w:tcW w:w="2211" w:type="dxa"/>
          </w:tcPr>
          <w:p w14:paraId="09153C59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Опасные риски</w:t>
            </w:r>
          </w:p>
        </w:tc>
        <w:tc>
          <w:tcPr>
            <w:tcW w:w="2154" w:type="dxa"/>
          </w:tcPr>
          <w:p w14:paraId="0EB8CC5F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Допустимые риски</w:t>
            </w:r>
          </w:p>
        </w:tc>
      </w:tr>
      <w:tr w:rsidR="00C77F4E" w14:paraId="3DEC8600" w14:textId="77777777">
        <w:tc>
          <w:tcPr>
            <w:tcW w:w="2381" w:type="dxa"/>
          </w:tcPr>
          <w:p w14:paraId="2497212E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Средняя вероятность</w:t>
            </w:r>
          </w:p>
        </w:tc>
        <w:tc>
          <w:tcPr>
            <w:tcW w:w="2324" w:type="dxa"/>
          </w:tcPr>
          <w:p w14:paraId="54E0A718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Опасные риски</w:t>
            </w:r>
          </w:p>
        </w:tc>
        <w:tc>
          <w:tcPr>
            <w:tcW w:w="2211" w:type="dxa"/>
          </w:tcPr>
          <w:p w14:paraId="49772533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Допустимые риски</w:t>
            </w:r>
          </w:p>
        </w:tc>
        <w:tc>
          <w:tcPr>
            <w:tcW w:w="2154" w:type="dxa"/>
          </w:tcPr>
          <w:p w14:paraId="7ADAFB6D" w14:textId="77777777" w:rsidR="00C77F4E" w:rsidRDefault="00C77F4E">
            <w:pPr>
              <w:spacing w:after="1" w:line="220" w:lineRule="atLeast"/>
            </w:pPr>
          </w:p>
        </w:tc>
      </w:tr>
      <w:tr w:rsidR="00C77F4E" w14:paraId="403478AA" w14:textId="77777777">
        <w:tc>
          <w:tcPr>
            <w:tcW w:w="2381" w:type="dxa"/>
          </w:tcPr>
          <w:p w14:paraId="35DD7C27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Низкая вероятность</w:t>
            </w:r>
          </w:p>
        </w:tc>
        <w:tc>
          <w:tcPr>
            <w:tcW w:w="2324" w:type="dxa"/>
          </w:tcPr>
          <w:p w14:paraId="0CF0A8F5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Допустимые риски</w:t>
            </w:r>
          </w:p>
        </w:tc>
        <w:tc>
          <w:tcPr>
            <w:tcW w:w="2211" w:type="dxa"/>
          </w:tcPr>
          <w:p w14:paraId="078E68BE" w14:textId="77777777" w:rsidR="00C77F4E" w:rsidRDefault="00C77F4E">
            <w:pPr>
              <w:spacing w:after="1" w:line="220" w:lineRule="atLeast"/>
            </w:pPr>
          </w:p>
        </w:tc>
        <w:tc>
          <w:tcPr>
            <w:tcW w:w="2154" w:type="dxa"/>
          </w:tcPr>
          <w:p w14:paraId="7D54FB2A" w14:textId="77777777" w:rsidR="00C77F4E" w:rsidRDefault="00C77F4E">
            <w:pPr>
              <w:spacing w:after="1" w:line="220" w:lineRule="atLeast"/>
            </w:pPr>
          </w:p>
        </w:tc>
      </w:tr>
    </w:tbl>
    <w:p w14:paraId="3805D5B8" w14:textId="77777777" w:rsidR="00C77F4E" w:rsidRDefault="00C77F4E">
      <w:pPr>
        <w:spacing w:after="1" w:line="220" w:lineRule="atLeast"/>
        <w:jc w:val="both"/>
      </w:pPr>
    </w:p>
    <w:p w14:paraId="52E4C404" w14:textId="77777777" w:rsidR="00C77F4E" w:rsidRDefault="00C77F4E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Каждая МФО при составлении карты рисков самостоятельно оценивает значимость и вероятность реализации анализируемых рисков при помощи </w:t>
      </w:r>
      <w:hyperlink w:anchor="P244" w:history="1">
        <w:r>
          <w:rPr>
            <w:rFonts w:ascii="Calibri" w:hAnsi="Calibri" w:cs="Calibri"/>
            <w:color w:val="0000FF"/>
          </w:rPr>
          <w:t>таблицы</w:t>
        </w:r>
      </w:hyperlink>
      <w:r>
        <w:rPr>
          <w:rFonts w:ascii="Calibri" w:hAnsi="Calibri" w:cs="Calibri"/>
        </w:rPr>
        <w:t xml:space="preserve"> анализа рисков.</w:t>
      </w:r>
    </w:p>
    <w:p w14:paraId="2D40B4EE" w14:textId="77777777" w:rsidR="00C77F4E" w:rsidRDefault="00C77F4E">
      <w:pPr>
        <w:spacing w:after="1" w:line="220" w:lineRule="atLeast"/>
        <w:jc w:val="both"/>
      </w:pPr>
    </w:p>
    <w:p w14:paraId="2669E262" w14:textId="77777777" w:rsidR="00C77F4E" w:rsidRDefault="00C77F4E">
      <w:pPr>
        <w:spacing w:after="1" w:line="220" w:lineRule="atLeast"/>
        <w:outlineLvl w:val="1"/>
      </w:pPr>
      <w:bookmarkStart w:id="4" w:name="P244"/>
      <w:bookmarkEnd w:id="4"/>
      <w:r>
        <w:rPr>
          <w:rFonts w:ascii="Calibri" w:hAnsi="Calibri" w:cs="Calibri"/>
          <w:b/>
        </w:rPr>
        <w:t>Таблица 2. Таблица анализа рисков</w:t>
      </w:r>
    </w:p>
    <w:p w14:paraId="471E8DDC" w14:textId="77777777" w:rsidR="00C77F4E" w:rsidRDefault="00C77F4E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57"/>
        <w:gridCol w:w="1587"/>
        <w:gridCol w:w="2098"/>
        <w:gridCol w:w="1701"/>
        <w:gridCol w:w="1417"/>
      </w:tblGrid>
      <w:tr w:rsidR="00C77F4E" w14:paraId="0A61C258" w14:textId="77777777">
        <w:tc>
          <w:tcPr>
            <w:tcW w:w="454" w:type="dxa"/>
          </w:tcPr>
          <w:p w14:paraId="7A351CF7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N</w:t>
            </w:r>
          </w:p>
        </w:tc>
        <w:tc>
          <w:tcPr>
            <w:tcW w:w="1757" w:type="dxa"/>
          </w:tcPr>
          <w:p w14:paraId="62A52D15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Описание возможного фактора риска</w:t>
            </w:r>
          </w:p>
        </w:tc>
        <w:tc>
          <w:tcPr>
            <w:tcW w:w="1587" w:type="dxa"/>
          </w:tcPr>
          <w:p w14:paraId="75BF7A7B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Описание опасности риска для компании</w:t>
            </w:r>
          </w:p>
        </w:tc>
        <w:tc>
          <w:tcPr>
            <w:tcW w:w="2098" w:type="dxa"/>
          </w:tcPr>
          <w:p w14:paraId="4DCACA8D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Оценка возможного ущерба компании, в % от прибыли</w:t>
            </w:r>
          </w:p>
        </w:tc>
        <w:tc>
          <w:tcPr>
            <w:tcW w:w="1701" w:type="dxa"/>
          </w:tcPr>
          <w:p w14:paraId="77C96573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Оценка опасности риска по пятибалльной шкале</w:t>
            </w:r>
          </w:p>
        </w:tc>
        <w:tc>
          <w:tcPr>
            <w:tcW w:w="1417" w:type="dxa"/>
          </w:tcPr>
          <w:p w14:paraId="0445F201" w14:textId="77777777" w:rsidR="00C77F4E" w:rsidRDefault="00C77F4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Вероятность реализации риска, в %</w:t>
            </w:r>
          </w:p>
        </w:tc>
      </w:tr>
      <w:tr w:rsidR="00C77F4E" w14:paraId="1391D54E" w14:textId="77777777">
        <w:tc>
          <w:tcPr>
            <w:tcW w:w="454" w:type="dxa"/>
          </w:tcPr>
          <w:p w14:paraId="6369635D" w14:textId="77777777" w:rsidR="00C77F4E" w:rsidRDefault="00C77F4E">
            <w:pPr>
              <w:spacing w:after="1" w:line="220" w:lineRule="atLeast"/>
            </w:pPr>
          </w:p>
        </w:tc>
        <w:tc>
          <w:tcPr>
            <w:tcW w:w="3344" w:type="dxa"/>
            <w:gridSpan w:val="2"/>
          </w:tcPr>
          <w:p w14:paraId="5D15C5DE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Внешние факторы риска</w:t>
            </w:r>
          </w:p>
        </w:tc>
        <w:tc>
          <w:tcPr>
            <w:tcW w:w="2098" w:type="dxa"/>
          </w:tcPr>
          <w:p w14:paraId="2754C2BF" w14:textId="77777777" w:rsidR="00C77F4E" w:rsidRDefault="00C77F4E">
            <w:pPr>
              <w:spacing w:after="1" w:line="220" w:lineRule="atLeast"/>
            </w:pPr>
          </w:p>
        </w:tc>
        <w:tc>
          <w:tcPr>
            <w:tcW w:w="1701" w:type="dxa"/>
          </w:tcPr>
          <w:p w14:paraId="79BFDED8" w14:textId="77777777" w:rsidR="00C77F4E" w:rsidRDefault="00C77F4E">
            <w:pPr>
              <w:spacing w:after="1" w:line="220" w:lineRule="atLeast"/>
            </w:pPr>
          </w:p>
        </w:tc>
        <w:tc>
          <w:tcPr>
            <w:tcW w:w="1417" w:type="dxa"/>
          </w:tcPr>
          <w:p w14:paraId="50D4ECEB" w14:textId="77777777" w:rsidR="00C77F4E" w:rsidRDefault="00C77F4E">
            <w:pPr>
              <w:spacing w:after="1" w:line="220" w:lineRule="atLeast"/>
            </w:pPr>
          </w:p>
        </w:tc>
      </w:tr>
      <w:tr w:rsidR="00C77F4E" w14:paraId="5ED6A087" w14:textId="77777777">
        <w:tc>
          <w:tcPr>
            <w:tcW w:w="454" w:type="dxa"/>
          </w:tcPr>
          <w:p w14:paraId="5CB0D452" w14:textId="77777777" w:rsidR="00C77F4E" w:rsidRDefault="00C77F4E">
            <w:pPr>
              <w:spacing w:after="1" w:line="220" w:lineRule="atLeast"/>
            </w:pPr>
          </w:p>
        </w:tc>
        <w:tc>
          <w:tcPr>
            <w:tcW w:w="1757" w:type="dxa"/>
          </w:tcPr>
          <w:p w14:paraId="06CE3678" w14:textId="77777777" w:rsidR="00C77F4E" w:rsidRDefault="00C77F4E">
            <w:pPr>
              <w:spacing w:after="1" w:line="220" w:lineRule="atLeast"/>
            </w:pPr>
          </w:p>
        </w:tc>
        <w:tc>
          <w:tcPr>
            <w:tcW w:w="1587" w:type="dxa"/>
          </w:tcPr>
          <w:p w14:paraId="300C438E" w14:textId="77777777" w:rsidR="00C77F4E" w:rsidRDefault="00C77F4E">
            <w:pPr>
              <w:spacing w:after="1" w:line="220" w:lineRule="atLeast"/>
            </w:pPr>
          </w:p>
        </w:tc>
        <w:tc>
          <w:tcPr>
            <w:tcW w:w="2098" w:type="dxa"/>
          </w:tcPr>
          <w:p w14:paraId="61886DA2" w14:textId="77777777" w:rsidR="00C77F4E" w:rsidRDefault="00C77F4E">
            <w:pPr>
              <w:spacing w:after="1" w:line="220" w:lineRule="atLeast"/>
            </w:pPr>
          </w:p>
        </w:tc>
        <w:tc>
          <w:tcPr>
            <w:tcW w:w="1701" w:type="dxa"/>
          </w:tcPr>
          <w:p w14:paraId="49E2D1E4" w14:textId="77777777" w:rsidR="00C77F4E" w:rsidRDefault="00C77F4E">
            <w:pPr>
              <w:spacing w:after="1" w:line="220" w:lineRule="atLeast"/>
            </w:pPr>
          </w:p>
        </w:tc>
        <w:tc>
          <w:tcPr>
            <w:tcW w:w="1417" w:type="dxa"/>
          </w:tcPr>
          <w:p w14:paraId="1D9B0334" w14:textId="77777777" w:rsidR="00C77F4E" w:rsidRDefault="00C77F4E">
            <w:pPr>
              <w:spacing w:after="1" w:line="220" w:lineRule="atLeast"/>
            </w:pPr>
          </w:p>
        </w:tc>
      </w:tr>
      <w:tr w:rsidR="00C77F4E" w14:paraId="73A675D8" w14:textId="77777777">
        <w:tc>
          <w:tcPr>
            <w:tcW w:w="454" w:type="dxa"/>
          </w:tcPr>
          <w:p w14:paraId="6AD9558C" w14:textId="77777777" w:rsidR="00C77F4E" w:rsidRDefault="00C77F4E">
            <w:pPr>
              <w:spacing w:after="1" w:line="220" w:lineRule="atLeast"/>
            </w:pPr>
          </w:p>
        </w:tc>
        <w:tc>
          <w:tcPr>
            <w:tcW w:w="3344" w:type="dxa"/>
            <w:gridSpan w:val="2"/>
          </w:tcPr>
          <w:p w14:paraId="2EB3DB64" w14:textId="77777777" w:rsidR="00C77F4E" w:rsidRDefault="00C77F4E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Внутренние факторы риска</w:t>
            </w:r>
          </w:p>
        </w:tc>
        <w:tc>
          <w:tcPr>
            <w:tcW w:w="2098" w:type="dxa"/>
          </w:tcPr>
          <w:p w14:paraId="44F444CC" w14:textId="77777777" w:rsidR="00C77F4E" w:rsidRDefault="00C77F4E">
            <w:pPr>
              <w:spacing w:after="1" w:line="220" w:lineRule="atLeast"/>
            </w:pPr>
          </w:p>
        </w:tc>
        <w:tc>
          <w:tcPr>
            <w:tcW w:w="1701" w:type="dxa"/>
          </w:tcPr>
          <w:p w14:paraId="6A002C29" w14:textId="77777777" w:rsidR="00C77F4E" w:rsidRDefault="00C77F4E">
            <w:pPr>
              <w:spacing w:after="1" w:line="220" w:lineRule="atLeast"/>
            </w:pPr>
          </w:p>
        </w:tc>
        <w:tc>
          <w:tcPr>
            <w:tcW w:w="1417" w:type="dxa"/>
          </w:tcPr>
          <w:p w14:paraId="23AB09DF" w14:textId="77777777" w:rsidR="00C77F4E" w:rsidRDefault="00C77F4E">
            <w:pPr>
              <w:spacing w:after="1" w:line="220" w:lineRule="atLeast"/>
            </w:pPr>
          </w:p>
        </w:tc>
      </w:tr>
      <w:tr w:rsidR="00C77F4E" w14:paraId="1130AABB" w14:textId="77777777">
        <w:tc>
          <w:tcPr>
            <w:tcW w:w="454" w:type="dxa"/>
          </w:tcPr>
          <w:p w14:paraId="5403C465" w14:textId="77777777" w:rsidR="00C77F4E" w:rsidRDefault="00C77F4E">
            <w:pPr>
              <w:spacing w:after="1" w:line="220" w:lineRule="atLeast"/>
            </w:pPr>
          </w:p>
        </w:tc>
        <w:tc>
          <w:tcPr>
            <w:tcW w:w="1757" w:type="dxa"/>
          </w:tcPr>
          <w:p w14:paraId="2F924A4F" w14:textId="77777777" w:rsidR="00C77F4E" w:rsidRDefault="00C77F4E">
            <w:pPr>
              <w:spacing w:after="1" w:line="220" w:lineRule="atLeast"/>
            </w:pPr>
          </w:p>
        </w:tc>
        <w:tc>
          <w:tcPr>
            <w:tcW w:w="1587" w:type="dxa"/>
          </w:tcPr>
          <w:p w14:paraId="1A397698" w14:textId="77777777" w:rsidR="00C77F4E" w:rsidRDefault="00C77F4E">
            <w:pPr>
              <w:spacing w:after="1" w:line="220" w:lineRule="atLeast"/>
            </w:pPr>
          </w:p>
        </w:tc>
        <w:tc>
          <w:tcPr>
            <w:tcW w:w="2098" w:type="dxa"/>
          </w:tcPr>
          <w:p w14:paraId="29875A0B" w14:textId="77777777" w:rsidR="00C77F4E" w:rsidRDefault="00C77F4E">
            <w:pPr>
              <w:spacing w:after="1" w:line="220" w:lineRule="atLeast"/>
            </w:pPr>
          </w:p>
        </w:tc>
        <w:tc>
          <w:tcPr>
            <w:tcW w:w="1701" w:type="dxa"/>
          </w:tcPr>
          <w:p w14:paraId="48963402" w14:textId="77777777" w:rsidR="00C77F4E" w:rsidRDefault="00C77F4E">
            <w:pPr>
              <w:spacing w:after="1" w:line="220" w:lineRule="atLeast"/>
            </w:pPr>
          </w:p>
        </w:tc>
        <w:tc>
          <w:tcPr>
            <w:tcW w:w="1417" w:type="dxa"/>
          </w:tcPr>
          <w:p w14:paraId="45560CAA" w14:textId="77777777" w:rsidR="00C77F4E" w:rsidRDefault="00C77F4E">
            <w:pPr>
              <w:spacing w:after="1" w:line="220" w:lineRule="atLeast"/>
            </w:pPr>
          </w:p>
        </w:tc>
      </w:tr>
    </w:tbl>
    <w:p w14:paraId="13127AAA" w14:textId="77777777" w:rsidR="00C77F4E" w:rsidRDefault="00C77F4E">
      <w:pPr>
        <w:spacing w:after="1" w:line="220" w:lineRule="atLeast"/>
        <w:jc w:val="both"/>
      </w:pPr>
    </w:p>
    <w:p w14:paraId="46F87E1C" w14:textId="77777777" w:rsidR="00C77F4E" w:rsidRDefault="00C77F4E">
      <w:pPr>
        <w:spacing w:after="1" w:line="220" w:lineRule="atLeast"/>
        <w:jc w:val="both"/>
      </w:pPr>
    </w:p>
    <w:p w14:paraId="460AD469" w14:textId="77777777" w:rsidR="00C77F4E" w:rsidRDefault="00C77F4E">
      <w:pPr>
        <w:spacing w:after="1" w:line="220" w:lineRule="atLeast"/>
        <w:jc w:val="both"/>
      </w:pPr>
    </w:p>
    <w:p w14:paraId="28838AA0" w14:textId="77777777" w:rsidR="00C77F4E" w:rsidRDefault="00C77F4E">
      <w:pPr>
        <w:spacing w:after="1" w:line="220" w:lineRule="atLeast"/>
        <w:jc w:val="both"/>
      </w:pPr>
    </w:p>
    <w:p w14:paraId="5969E4BB" w14:textId="77777777" w:rsidR="00C77F4E" w:rsidRDefault="00C77F4E">
      <w:pPr>
        <w:spacing w:after="1" w:line="220" w:lineRule="atLeast"/>
        <w:jc w:val="both"/>
      </w:pPr>
    </w:p>
    <w:p w14:paraId="4E78B426" w14:textId="77777777" w:rsidR="00C77F4E" w:rsidRDefault="00C77F4E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Приложение N 3</w:t>
      </w:r>
    </w:p>
    <w:p w14:paraId="07A3E3F5" w14:textId="77777777" w:rsidR="00C77F4E" w:rsidRDefault="00C77F4E">
      <w:pPr>
        <w:spacing w:after="1" w:line="220" w:lineRule="atLeast"/>
        <w:jc w:val="right"/>
      </w:pPr>
      <w:r>
        <w:rPr>
          <w:rFonts w:ascii="Calibri" w:hAnsi="Calibri" w:cs="Calibri"/>
        </w:rPr>
        <w:t>к Стандарту</w:t>
      </w:r>
    </w:p>
    <w:p w14:paraId="356CF2CA" w14:textId="77777777" w:rsidR="00C77F4E" w:rsidRDefault="00C77F4E">
      <w:pPr>
        <w:spacing w:after="1" w:line="220" w:lineRule="atLeast"/>
        <w:jc w:val="both"/>
      </w:pPr>
    </w:p>
    <w:p w14:paraId="2FAAFF7C" w14:textId="77777777" w:rsidR="00C77F4E" w:rsidRDefault="00C77F4E">
      <w:pPr>
        <w:spacing w:after="1" w:line="220" w:lineRule="atLeast"/>
        <w:jc w:val="center"/>
      </w:pPr>
      <w:bookmarkStart w:id="5" w:name="P282"/>
      <w:bookmarkEnd w:id="5"/>
      <w:r>
        <w:rPr>
          <w:rFonts w:ascii="Calibri" w:hAnsi="Calibri" w:cs="Calibri"/>
        </w:rPr>
        <w:t>Рекомендуемая форма отчетности</w:t>
      </w:r>
    </w:p>
    <w:p w14:paraId="4E17F231" w14:textId="77777777" w:rsidR="00C77F4E" w:rsidRDefault="00C77F4E">
      <w:pPr>
        <w:spacing w:after="1" w:line="220" w:lineRule="atLeast"/>
        <w:jc w:val="both"/>
      </w:pPr>
    </w:p>
    <w:p w14:paraId="07B319D8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ОТЧЕТНОСТЬ</w:t>
      </w:r>
    </w:p>
    <w:p w14:paraId="7CF3375A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о системе управления рисками</w:t>
      </w:r>
    </w:p>
    <w:p w14:paraId="199F6744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по состоянию на "__" _____ 20__ года</w:t>
      </w:r>
    </w:p>
    <w:p w14:paraId="13496104" w14:textId="77777777" w:rsidR="00C77F4E" w:rsidRDefault="00C77F4E">
      <w:pPr>
        <w:spacing w:after="1" w:line="200" w:lineRule="atLeast"/>
        <w:jc w:val="both"/>
      </w:pPr>
    </w:p>
    <w:p w14:paraId="011B8A9B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Периодичность: _________</w:t>
      </w:r>
    </w:p>
    <w:p w14:paraId="18A11FF9" w14:textId="77777777" w:rsidR="00C77F4E" w:rsidRDefault="00C77F4E">
      <w:pPr>
        <w:spacing w:after="1" w:line="200" w:lineRule="atLeast"/>
        <w:jc w:val="both"/>
      </w:pPr>
    </w:p>
    <w:p w14:paraId="785447C1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Раскрывается  основная  информация  по рискам и статусу процесса управления</w:t>
      </w:r>
    </w:p>
    <w:p w14:paraId="5451BA93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рисками, текущими и предстоящими задачами в области управления рисками.</w:t>
      </w:r>
    </w:p>
    <w:p w14:paraId="5E6F7A95" w14:textId="77777777" w:rsidR="00C77F4E" w:rsidRDefault="00C77F4E">
      <w:pPr>
        <w:spacing w:after="1" w:line="200" w:lineRule="atLeast"/>
        <w:jc w:val="both"/>
      </w:pPr>
    </w:p>
    <w:p w14:paraId="75BE9685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Приложение:</w:t>
      </w:r>
    </w:p>
    <w:p w14:paraId="2BA157D7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1. Реестр рисков.</w:t>
      </w:r>
    </w:p>
    <w:p w14:paraId="67B39FC1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2. Паспорт риска.</w:t>
      </w:r>
    </w:p>
    <w:p w14:paraId="7104A858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3. Карта рисков.</w:t>
      </w:r>
    </w:p>
    <w:p w14:paraId="5ABB3420" w14:textId="77777777" w:rsidR="00C77F4E" w:rsidRDefault="00C77F4E">
      <w:pPr>
        <w:spacing w:after="1" w:line="200" w:lineRule="atLeast"/>
        <w:jc w:val="both"/>
      </w:pPr>
    </w:p>
    <w:p w14:paraId="5ACB88B7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Ответственное лицо _____________ ___________ ______________________________</w:t>
      </w:r>
    </w:p>
    <w:p w14:paraId="4D48AD32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(должность)   (подпись)      (расшифровка подписи)</w:t>
      </w:r>
    </w:p>
    <w:p w14:paraId="78293366" w14:textId="77777777" w:rsidR="00C77F4E" w:rsidRDefault="00C77F4E">
      <w:pPr>
        <w:spacing w:after="1" w:line="200" w:lineRule="atLeast"/>
        <w:jc w:val="both"/>
      </w:pPr>
    </w:p>
    <w:p w14:paraId="5FA5C0E5" w14:textId="77777777" w:rsidR="00C77F4E" w:rsidRDefault="00C77F4E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"__" _______ 20__ г.</w:t>
      </w:r>
    </w:p>
    <w:p w14:paraId="74E6004F" w14:textId="77777777" w:rsidR="00C77F4E" w:rsidRDefault="00C77F4E">
      <w:pPr>
        <w:spacing w:after="1" w:line="220" w:lineRule="atLeast"/>
        <w:jc w:val="both"/>
      </w:pPr>
    </w:p>
    <w:p w14:paraId="36A6BEDA" w14:textId="77777777" w:rsidR="00C77F4E" w:rsidRDefault="00C77F4E">
      <w:pPr>
        <w:spacing w:after="1" w:line="220" w:lineRule="atLeast"/>
        <w:jc w:val="both"/>
      </w:pPr>
    </w:p>
    <w:p w14:paraId="35F47741" w14:textId="77777777" w:rsidR="00C77F4E" w:rsidRDefault="00C77F4E">
      <w:pPr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52A3017" w14:textId="77777777" w:rsidR="00C77F4E" w:rsidRDefault="00C77F4E">
      <w:pPr>
        <w:spacing w:after="1" w:line="200" w:lineRule="atLeast"/>
      </w:pPr>
      <w:r>
        <w:rPr>
          <w:rFonts w:ascii="Tahoma" w:hAnsi="Tahoma" w:cs="Tahoma"/>
          <w:sz w:val="20"/>
        </w:rPr>
        <w:t xml:space="preserve">Документ предоставлен </w:t>
      </w:r>
      <w:hyperlink r:id="rId12" w:history="1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4E83CC9A" w14:textId="77777777" w:rsidR="00C77F4E" w:rsidRDefault="00C77F4E">
      <w:pPr>
        <w:spacing w:after="1" w:line="220" w:lineRule="atLeast"/>
        <w:jc w:val="both"/>
        <w:outlineLvl w:val="0"/>
      </w:pPr>
    </w:p>
    <w:p w14:paraId="45A8B878" w14:textId="77777777" w:rsidR="00AE263C" w:rsidRDefault="00AE263C"/>
    <w:sectPr w:rsidR="00AE263C" w:rsidSect="00E75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2D4"/>
    <w:rsid w:val="00AE263C"/>
    <w:rsid w:val="00B812D4"/>
    <w:rsid w:val="00C7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BB2D2-1369-485C-B878-85980F4B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1CE297432471FEED54A036591C71C47C91475EE21F31E6A518508CCA025B2DB590024C5CA450403AA9BE699025F626D89F8DE747371F37r0W5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01CE297432471FEED54A036591C71C47C914A5BE61B31E6A518508CCA025B2DB590024C5CA4514331A9BE699025F626D89F8DE747371F37r0W5H" TargetMode="External"/><Relationship Id="rId12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1CE297432471FEED54A036591C71C47C914A5BE51731E6A518508CCA025B2DB590024C5CA4504837A9BE699025F626D89F8DE747371F37r0W5H" TargetMode="External"/><Relationship Id="rId11" Type="http://schemas.openxmlformats.org/officeDocument/2006/relationships/hyperlink" Target="consultantplus://offline/ref=601CE297432471FEED54A036591C71C47C914A5BE51731E6A518508CCA025B2DA7905A405CA34E403BBCE838D6r7W1H" TargetMode="External"/><Relationship Id="rId5" Type="http://schemas.openxmlformats.org/officeDocument/2006/relationships/hyperlink" Target="consultantplus://offline/ref=601CE297432471FEED54A036591C71C47C914A5BE51731E6A518508CCA025B2DB590024C5CA450463AA9BE699025F626D89F8DE747371F37r0W5H" TargetMode="External"/><Relationship Id="rId10" Type="http://schemas.openxmlformats.org/officeDocument/2006/relationships/hyperlink" Target="consultantplus://offline/ref=601CE297432471FEED54A036591C71C47C914A5BE61B31E6A518508CCA025B2DA7905A405CA34E403BBCE838D6r7W1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01CE297432471FEED54A036591C71C47C914A5BE61B31E6A518508CCA025B2DB590024C5CA450413BA9BE699025F626D89F8DE747371F37r0W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4990</Words>
  <Characters>28443</Characters>
  <Application>Microsoft Office Word</Application>
  <DocSecurity>0</DocSecurity>
  <Lines>237</Lines>
  <Paragraphs>66</Paragraphs>
  <ScaleCrop>false</ScaleCrop>
  <Company/>
  <LinksUpToDate>false</LinksUpToDate>
  <CharactersWithSpaces>33367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Труфанова</cp:lastModifiedBy>
  <cp:revision>3</cp:revision>
  <dcterms:created xsi:type="dcterms:W3CDTF">2021-09-07T07:21:00Z</dcterms:created>
  <dcterms:modified xsi:type="dcterms:W3CDTF">2021-09-07T07:25:00Z</dcterms:modified>
</cp:coreProperties>
</file>